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tabs>
          <w:tab w:leader="none" w:pos="709" w:val="left"/>
          <w:tab w:leader="none" w:pos="720" w:val="left"/>
        </w:tabs>
        <w:jc w:val="left"/>
      </w:pPr>
      <w:r>
        <w:rPr>
          <w:color w:val="00000A"/>
          <w:u w:val="none"/>
        </w:rPr>
        <w:t>Wayne McCole                                                                Forefront Messaging Solutions LLC</w:t>
      </w:r>
    </w:p>
    <w:p>
      <w:pPr>
        <w:pStyle w:val="style0"/>
        <w:jc w:val="right"/>
      </w:pPr>
      <w:hyperlink r:id="rId2">
        <w:r>
          <w:rPr>
            <w:rStyle w:val="style16"/>
            <w:rStyle w:val="style16"/>
            <w:color w:val="000080"/>
            <w:u w:val="none"/>
          </w:rPr>
          <w:t>wayne_mccole@yahoo.com</w:t>
        </w:r>
      </w:hyperlink>
    </w:p>
    <w:p>
      <w:pPr>
        <w:pStyle w:val="style0"/>
        <w:tabs>
          <w:tab w:leader="none" w:pos="709" w:val="left"/>
          <w:tab w:leader="none" w:pos="720" w:val="left"/>
        </w:tabs>
        <w:jc w:val="right"/>
      </w:pPr>
      <w:r>
        <w:rPr>
          <w:color w:val="00000A"/>
        </w:rPr>
        <w:t>(973) 600-1244</w:t>
      </w:r>
    </w:p>
    <w:p>
      <w:pPr>
        <w:pStyle w:val="style0"/>
        <w:tabs>
          <w:tab w:leader="none" w:pos="709" w:val="left"/>
          <w:tab w:leader="none" w:pos="720" w:val="left"/>
        </w:tabs>
        <w:jc w:val="left"/>
      </w:pPr>
      <w:r>
        <w:rPr/>
      </w:r>
    </w:p>
    <w:p>
      <w:pPr>
        <w:pStyle w:val="style0"/>
        <w:tabs>
          <w:tab w:leader="none" w:pos="709" w:val="left"/>
          <w:tab w:leader="none" w:pos="720" w:val="left"/>
        </w:tabs>
        <w:jc w:val="left"/>
      </w:pPr>
      <w:r>
        <w:rPr/>
      </w:r>
    </w:p>
    <w:p>
      <w:pPr>
        <w:pStyle w:val="style0"/>
        <w:tabs>
          <w:tab w:leader="none" w:pos="709" w:val="left"/>
          <w:tab w:leader="none" w:pos="720" w:val="left"/>
        </w:tabs>
        <w:spacing w:after="115" w:before="0" w:line="100" w:lineRule="atLeast"/>
        <w:jc w:val="left"/>
      </w:pPr>
      <w:r>
        <w:rPr>
          <w:b/>
          <w:color w:val="00000A"/>
        </w:rPr>
        <w:t>Summary</w:t>
        <w:tab/>
      </w:r>
    </w:p>
    <w:p>
      <w:pPr>
        <w:pStyle w:val="style0"/>
        <w:tabs>
          <w:tab w:leader="none" w:pos="709" w:val="left"/>
          <w:tab w:leader="none" w:pos="720" w:val="left"/>
        </w:tabs>
        <w:spacing w:after="0" w:before="0" w:line="100" w:lineRule="atLeast"/>
        <w:jc w:val="left"/>
      </w:pPr>
      <w:r>
        <w:rPr>
          <w:color w:val="00000A"/>
        </w:rPr>
        <w:t>Professional Messaging Specialist with extensive experience in the analysis, design and implementation of business class email solutions.  Recognized expertise in email messaging, security, compliance, content filtering and threat management.  Provider of Tier</w:t>
      </w:r>
      <w:r>
        <w:rPr>
          <w:b w:val="false"/>
          <w:bCs w:val="false"/>
          <w:color w:val="00000A"/>
        </w:rPr>
        <w:t xml:space="preserve"> 3</w:t>
      </w:r>
      <w:r>
        <w:rPr>
          <w:b w:val="false"/>
          <w:bCs w:val="false"/>
          <w:color w:val="00000A"/>
          <w:vertAlign w:val="superscript"/>
        </w:rPr>
        <w:t xml:space="preserve"> </w:t>
      </w:r>
      <w:r>
        <w:rPr>
          <w:b w:val="false"/>
          <w:bCs w:val="false"/>
          <w:color w:val="00000A"/>
        </w:rPr>
        <w:t>support and solutions to Business Units and Service Centers.</w:t>
      </w:r>
    </w:p>
    <w:p>
      <w:pPr>
        <w:pStyle w:val="style0"/>
        <w:tabs>
          <w:tab w:leader="none" w:pos="709" w:val="left"/>
          <w:tab w:leader="none" w:pos="720" w:val="left"/>
        </w:tabs>
        <w:spacing w:after="0" w:before="0" w:line="100" w:lineRule="atLeast"/>
        <w:jc w:val="left"/>
      </w:pPr>
      <w:r>
        <w:rPr/>
      </w:r>
    </w:p>
    <w:p>
      <w:pPr>
        <w:pStyle w:val="style0"/>
        <w:tabs>
          <w:tab w:leader="none" w:pos="709" w:val="left"/>
          <w:tab w:leader="none" w:pos="720" w:val="left"/>
        </w:tabs>
        <w:spacing w:after="0" w:before="0" w:line="100" w:lineRule="atLeast"/>
        <w:jc w:val="left"/>
      </w:pPr>
      <w:r>
        <w:rPr/>
      </w:r>
    </w:p>
    <w:p>
      <w:pPr>
        <w:pStyle w:val="style0"/>
        <w:tabs>
          <w:tab w:leader="none" w:pos="709" w:val="left"/>
          <w:tab w:leader="none" w:pos="720" w:val="left"/>
        </w:tabs>
        <w:spacing w:after="115" w:before="0" w:line="100" w:lineRule="atLeast"/>
        <w:jc w:val="left"/>
      </w:pPr>
      <w:r>
        <w:rPr>
          <w:b/>
          <w:bCs w:val="false"/>
        </w:rPr>
        <w:t>Skills and Experience</w:t>
      </w:r>
    </w:p>
    <w:p>
      <w:pPr>
        <w:pStyle w:val="style0"/>
        <w:tabs>
          <w:tab w:leader="none" w:pos="709" w:val="left"/>
          <w:tab w:leader="none" w:pos="720" w:val="left"/>
        </w:tabs>
        <w:spacing w:after="0" w:before="0" w:line="100" w:lineRule="atLeast"/>
        <w:jc w:val="left"/>
      </w:pPr>
      <w:r>
        <w:rPr>
          <w:b w:val="false"/>
          <w:bCs w:val="false"/>
        </w:rPr>
        <w:t>Exchange 2003, 2007 &amp; 2010, Windows Server 2003 &amp; 2008,</w:t>
      </w:r>
      <w:r>
        <w:rPr>
          <w:b w:val="false"/>
          <w:bCs w:val="false"/>
          <w:color w:val="00000A"/>
        </w:rPr>
        <w:t xml:space="preserve"> VMWare Workstation &amp; Server, Active Directory, Powershell, </w:t>
      </w:r>
      <w:r>
        <w:rPr>
          <w:b w:val="false"/>
          <w:bCs w:val="false"/>
        </w:rPr>
        <w:t xml:space="preserve">Microsoft Outlook, Outlook Anywhere, OWA, ActiveSync, Autodiscover, MAPI, RCP/CA, Windows XP &amp; Windows 7, Microsoft Office, Project, Visio, </w:t>
      </w:r>
      <w:r>
        <w:rPr>
          <w:b w:val="false"/>
          <w:bCs w:val="false"/>
          <w:color w:val="00000A"/>
        </w:rPr>
        <w:t>Microsoft Netmon,</w:t>
      </w:r>
      <w:r>
        <w:rPr>
          <w:b w:val="false"/>
          <w:bCs w:val="false"/>
        </w:rPr>
        <w:t xml:space="preserve"> Lotus Notes/Domino R7/R8.5, LotusScript,</w:t>
      </w:r>
      <w:r>
        <w:rPr>
          <w:b w:val="false"/>
          <w:bCs w:val="false"/>
          <w:color w:val="00000A"/>
        </w:rPr>
        <w:t xml:space="preserve"> </w:t>
      </w:r>
      <w:r>
        <w:rPr>
          <w:b w:val="false"/>
          <w:bCs w:val="false"/>
        </w:rPr>
        <w:t xml:space="preserve">DHCP, DNS, WINS, TCP/IP, SMTP, POP3, IMAP4, </w:t>
      </w:r>
      <w:r>
        <w:rPr>
          <w:b w:val="false"/>
          <w:bCs w:val="false"/>
          <w:color w:val="00000A"/>
        </w:rPr>
        <w:t>AIX, Solaris, Linux, Bash, Perl, Java, Oracle VirtualBox, Cisco IronPort Gateway Security, Astaro Security Gateway.</w:t>
      </w:r>
    </w:p>
    <w:p>
      <w:pPr>
        <w:pStyle w:val="style0"/>
        <w:tabs>
          <w:tab w:leader="none" w:pos="709" w:val="left"/>
          <w:tab w:leader="none" w:pos="720" w:val="left"/>
        </w:tabs>
        <w:spacing w:after="0" w:before="0" w:line="100" w:lineRule="atLeast"/>
        <w:jc w:val="left"/>
      </w:pPr>
      <w:r>
        <w:rPr/>
      </w:r>
    </w:p>
    <w:p>
      <w:pPr>
        <w:pStyle w:val="style0"/>
        <w:tabs>
          <w:tab w:leader="none" w:pos="709" w:val="left"/>
          <w:tab w:leader="none" w:pos="720" w:val="left"/>
        </w:tabs>
        <w:spacing w:after="0" w:before="0" w:line="100" w:lineRule="atLeast"/>
        <w:jc w:val="left"/>
      </w:pPr>
      <w:r>
        <w:rPr/>
      </w:r>
    </w:p>
    <w:p>
      <w:pPr>
        <w:pStyle w:val="style0"/>
        <w:tabs>
          <w:tab w:leader="none" w:pos="709" w:val="left"/>
          <w:tab w:leader="none" w:pos="720" w:val="left"/>
        </w:tabs>
        <w:spacing w:after="115" w:before="0" w:line="100" w:lineRule="atLeast"/>
        <w:jc w:val="left"/>
      </w:pPr>
      <w:r>
        <w:rPr>
          <w:b/>
          <w:color w:val="00000A"/>
        </w:rPr>
        <w:t>Related Experience</w:t>
      </w:r>
    </w:p>
    <w:p>
      <w:pPr>
        <w:pStyle w:val="style0"/>
        <w:tabs>
          <w:tab w:leader="none" w:pos="709" w:val="left"/>
          <w:tab w:leader="none" w:pos="720" w:val="left"/>
        </w:tabs>
        <w:spacing w:after="120" w:before="0"/>
        <w:jc w:val="left"/>
      </w:pPr>
      <w:r>
        <w:rPr>
          <w:b/>
          <w:color w:val="00000A"/>
        </w:rPr>
        <w:t>Exchange Messaging and Migration Specialist</w:t>
        <w:br/>
      </w:r>
      <w:r>
        <w:rPr>
          <w:color w:val="00000A"/>
        </w:rPr>
        <w:t>The Henson Group,</w:t>
      </w:r>
      <w:bookmarkStart w:id="0" w:name="_GoBack"/>
      <w:bookmarkEnd w:id="0"/>
      <w:r>
        <w:rPr>
          <w:color w:val="00000A"/>
        </w:rPr>
        <w:t xml:space="preserve"> Inc. (THG)</w:t>
        <w:br/>
        <w:t>Contractor:  Tifanny &amp; Co., Rothschild Asset Management – June 2011 to September 2011</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color w:val="00000A"/>
        </w:rPr>
        <w:t>On-site services for Exchange 2003 to 2010 migration of 9,000 customers.</w:t>
      </w:r>
    </w:p>
    <w:p>
      <w:pPr>
        <w:pStyle w:val="style0"/>
        <w:ind w:hanging="360" w:left="720" w:right="0"/>
        <w:jc w:val="left"/>
      </w:pPr>
      <w:r>
        <w:rPr>
          <w:rFonts w:ascii="Symbol" w:hAnsi="Symbol"/>
          <w:color w:val="00000A"/>
        </w:rPr>
        <w:t></w:t>
      </w:r>
      <w:r>
        <w:rPr>
          <w:rFonts w:ascii="Symbol" w:hAnsi="Symbol"/>
          <w:color w:val="00000A"/>
        </w:rPr>
        <w:tab/>
      </w:r>
      <w:r>
        <w:rPr>
          <w:color w:val="00000A"/>
        </w:rPr>
        <w:t>Designed URL naming conventions and provided SSL Certificate requirements for Exchange 2010/2003 co-existence in an active/active site topology.</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color w:val="00000A"/>
        </w:rPr>
        <w:t>Designed hardware load balanced Client Access Server array with Source IP and cookie persistence to optimize HTTP, MAPI RCP and RCP/CA connections for Exchange 2010.</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color w:val="00000A"/>
        </w:rPr>
        <w:t>Architected high availability for SMTP mail routing between co-located data centers.</w:t>
      </w:r>
    </w:p>
    <w:p>
      <w:pPr>
        <w:pStyle w:val="style0"/>
        <w:ind w:hanging="360" w:left="720" w:right="0"/>
        <w:jc w:val="left"/>
      </w:pPr>
      <w:r>
        <w:rPr>
          <w:rFonts w:ascii="Symbol" w:hAnsi="Symbol"/>
          <w:color w:val="00000A"/>
        </w:rPr>
        <w:t></w:t>
      </w:r>
      <w:r>
        <w:rPr>
          <w:rFonts w:ascii="Symbol" w:hAnsi="Symbol"/>
          <w:color w:val="00000A"/>
        </w:rPr>
        <w:tab/>
      </w:r>
      <w:r>
        <w:rPr>
          <w:color w:val="00000A"/>
        </w:rPr>
        <w:t>Provided detailed Visio topology diagrams for load balancing a multi-site Exchange Server 2010 solution on HP E5000 Messaging System for Microsoft Exchange.</w:t>
      </w:r>
    </w:p>
    <w:p>
      <w:pPr>
        <w:pStyle w:val="style46"/>
        <w:numPr>
          <w:ilvl w:val="0"/>
          <w:numId w:val="1"/>
        </w:numPr>
        <w:tabs>
          <w:tab w:leader="none" w:pos="1440" w:val="left"/>
          <w:tab w:leader="none" w:pos="2160" w:val="left"/>
          <w:tab w:leader="none" w:pos="2880" w:val="left"/>
          <w:tab w:leader="none" w:pos="3600" w:val="left"/>
          <w:tab w:leader="none" w:pos="4320" w:val="left"/>
        </w:tabs>
        <w:jc w:val="left"/>
      </w:pPr>
      <w:r>
        <w:rPr>
          <w:color w:val="00000A"/>
        </w:rPr>
        <w:t>Determine causes for performance and mail flow bottlenecks on Exchange 2003 cluster using Microsoft Netmon, Exchange 2003 Performance Monitor Wizard (PerfWiz) and Exchange Troubleshooting Assistant (Extra), for improving Exchange RCP Latency and disk performance issues.</w:t>
      </w:r>
    </w:p>
    <w:p>
      <w:pPr>
        <w:pStyle w:val="style0"/>
        <w:tabs>
          <w:tab w:leader="none" w:pos="709" w:val="left"/>
          <w:tab w:leader="none" w:pos="720" w:val="left"/>
        </w:tabs>
        <w:ind w:firstLine="1440" w:left="0" w:right="0"/>
        <w:jc w:val="left"/>
      </w:pPr>
      <w:r>
        <w:rPr/>
      </w:r>
    </w:p>
    <w:p>
      <w:pPr>
        <w:pStyle w:val="style0"/>
        <w:tabs>
          <w:tab w:leader="none" w:pos="709" w:val="left"/>
          <w:tab w:leader="none" w:pos="720" w:val="left"/>
        </w:tabs>
        <w:spacing w:after="120" w:before="0"/>
        <w:jc w:val="left"/>
      </w:pPr>
      <w:r>
        <w:rPr>
          <w:b/>
          <w:color w:val="00000A"/>
        </w:rPr>
        <w:t>Messaging Specialist</w:t>
        <w:br/>
      </w:r>
      <w:r>
        <w:rPr>
          <w:color w:val="00000A"/>
        </w:rPr>
        <w:t>New York Life Insurance Company - 1997 to June 2011</w:t>
      </w:r>
      <w:r>
        <w:rPr>
          <w:i/>
          <w:color w:val="00000A"/>
        </w:rPr>
        <w:br/>
        <w:br/>
      </w:r>
      <w:r>
        <w:rPr>
          <w:color w:val="00000A"/>
        </w:rPr>
        <w:t>Messaging Engineering, Administration, Development</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color w:val="00000A"/>
        </w:rPr>
        <w:t>Administered email for 25,000 users on Exchange 2007, Lotus Domino, Blackberry Enterprise Server (BES), IronPort Gateway Security and Critical Path Mail Servers.</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
    </w:p>
    <w:p>
      <w:pPr>
        <w:pStyle w:val="style0"/>
        <w:tabs>
          <w:tab w:leader="none" w:pos="1440" w:val="left"/>
          <w:tab w:leader="none" w:pos="2160" w:val="left"/>
          <w:tab w:leader="none" w:pos="2880" w:val="left"/>
          <w:tab w:leader="none" w:pos="3600" w:val="left"/>
          <w:tab w:leader="none" w:pos="4320" w:val="left"/>
        </w:tabs>
        <w:ind w:hanging="360" w:left="720" w:right="0"/>
        <w:jc w:val="center"/>
      </w:pPr>
      <w:r>
        <w:rPr>
          <w:color w:val="00000A"/>
        </w:rPr>
        <w:t>1</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color w:val="00000A"/>
        </w:rPr>
        <w:t>Migrated 16,000 SMTP accounts to Exchange 2007.</w:t>
      </w:r>
    </w:p>
    <w:p>
      <w:pPr>
        <w:pStyle w:val="style0"/>
        <w:ind w:hanging="360" w:left="720" w:right="0"/>
        <w:jc w:val="left"/>
      </w:pPr>
      <w:r>
        <w:rPr>
          <w:rFonts w:ascii="Symbol" w:hAnsi="Symbol"/>
          <w:color w:val="00000A"/>
        </w:rPr>
        <w:t></w:t>
      </w:r>
      <w:r>
        <w:rPr>
          <w:rFonts w:ascii="Symbol" w:hAnsi="Symbol"/>
          <w:color w:val="00000A"/>
        </w:rPr>
        <w:tab/>
      </w:r>
      <w:r>
        <w:rPr>
          <w:color w:val="00000A"/>
        </w:rPr>
        <w:t>Deployed 7,000 Lotus Domino e-mail accounts to a remote alternate data center.</w:t>
      </w:r>
    </w:p>
    <w:p>
      <w:pPr>
        <w:pStyle w:val="style0"/>
        <w:ind w:hanging="360" w:left="720" w:right="0"/>
        <w:jc w:val="left"/>
      </w:pPr>
      <w:r>
        <w:rPr>
          <w:rFonts w:ascii="Symbol" w:hAnsi="Symbol"/>
          <w:color w:val="00000A"/>
        </w:rPr>
        <w:t></w:t>
      </w:r>
      <w:r>
        <w:rPr>
          <w:rFonts w:ascii="Symbol" w:hAnsi="Symbol"/>
          <w:color w:val="00000A"/>
        </w:rPr>
        <w:tab/>
      </w:r>
      <w:r>
        <w:rPr>
          <w:color w:val="00000A"/>
        </w:rPr>
        <w:t>Troubleshot Exchange connectivity, mailbox routing e-mail addressing, DNS, security and fail-over issues for CCR environment across multiple data centers.</w:t>
      </w:r>
    </w:p>
    <w:p>
      <w:pPr>
        <w:pStyle w:val="style0"/>
        <w:ind w:hanging="360" w:left="720" w:right="0"/>
        <w:jc w:val="left"/>
      </w:pPr>
      <w:r>
        <w:rPr>
          <w:rFonts w:ascii="Symbol" w:hAnsi="Symbol"/>
          <w:color w:val="00000A"/>
        </w:rPr>
        <w:t></w:t>
      </w:r>
      <w:r>
        <w:rPr>
          <w:rFonts w:ascii="Symbol" w:hAnsi="Symbol"/>
          <w:color w:val="00000A"/>
        </w:rPr>
        <w:tab/>
      </w:r>
      <w:r>
        <w:rPr>
          <w:color w:val="00000A"/>
        </w:rPr>
        <w:t>Creatively developed scripts as the environment changed for ease of system administration, automation and availability monitoring.</w:t>
      </w:r>
    </w:p>
    <w:p>
      <w:pPr>
        <w:pStyle w:val="style0"/>
        <w:ind w:hanging="360" w:left="720" w:right="0"/>
        <w:jc w:val="left"/>
      </w:pPr>
      <w:r>
        <w:rPr>
          <w:rFonts w:ascii="Symbol" w:hAnsi="Symbol"/>
          <w:color w:val="00000A"/>
        </w:rPr>
        <w:t></w:t>
      </w:r>
      <w:r>
        <w:rPr>
          <w:rFonts w:ascii="Symbol" w:hAnsi="Symbol"/>
          <w:color w:val="00000A"/>
        </w:rPr>
        <w:tab/>
      </w:r>
      <w:r>
        <w:rPr>
          <w:color w:val="00000A"/>
        </w:rPr>
        <w:t>Supported secure message delivery for a 500-600 domain environment.</w:t>
      </w:r>
    </w:p>
    <w:p>
      <w:pPr>
        <w:pStyle w:val="style0"/>
        <w:ind w:hanging="360" w:left="720" w:right="0"/>
        <w:jc w:val="left"/>
      </w:pPr>
      <w:r>
        <w:rPr>
          <w:rFonts w:ascii="Symbol" w:hAnsi="Symbol"/>
          <w:color w:val="00000A"/>
        </w:rPr>
        <w:t></w:t>
      </w:r>
      <w:r>
        <w:rPr>
          <w:rFonts w:ascii="Symbol" w:hAnsi="Symbol"/>
          <w:color w:val="00000A"/>
        </w:rPr>
        <w:tab/>
      </w:r>
      <w:r>
        <w:rPr>
          <w:color w:val="00000A"/>
        </w:rPr>
        <w:t>Worked with vendor support teams to enhance solutions for custom applications.</w:t>
      </w:r>
    </w:p>
    <w:p>
      <w:pPr>
        <w:pStyle w:val="style0"/>
        <w:tabs>
          <w:tab w:leader="none" w:pos="709" w:val="left"/>
          <w:tab w:leader="none" w:pos="720" w:val="left"/>
        </w:tabs>
        <w:jc w:val="left"/>
      </w:pPr>
      <w:r>
        <w:rPr/>
      </w:r>
    </w:p>
    <w:p>
      <w:pPr>
        <w:pStyle w:val="style0"/>
        <w:tabs>
          <w:tab w:leader="none" w:pos="709" w:val="left"/>
          <w:tab w:leader="none" w:pos="720" w:val="left"/>
        </w:tabs>
        <w:spacing w:after="120" w:before="0"/>
        <w:jc w:val="left"/>
      </w:pPr>
      <w:r>
        <w:rPr>
          <w:color w:val="00000A"/>
        </w:rPr>
        <w:t>Desktop and mobile device support</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color w:val="00000A"/>
        </w:rPr>
        <w:t>Provided Tier III desktop support for multiple call centers.</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rFonts w:eastAsia="Times New Roman"/>
          <w:color w:val="00000A"/>
        </w:rPr>
        <w:t>Support for</w:t>
      </w:r>
      <w:r>
        <w:rPr>
          <w:color w:val="00000A"/>
        </w:rPr>
        <w:t xml:space="preserve"> all versions of Microsoft Outlook and Lotus Notes, Outlook Web Access,  mobile devices, Blackberry Enterprise Server, ActiveSync, POP/IMAP and SMTP.</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color w:val="00000A"/>
        </w:rPr>
        <w:t>Configured Outlook with advanced features including Autodiscover, customer signatures, personal folders, out of office, rules and message archiving.</w:t>
      </w:r>
    </w:p>
    <w:p>
      <w:pPr>
        <w:pStyle w:val="style0"/>
        <w:ind w:hanging="360" w:left="720" w:right="0"/>
        <w:jc w:val="left"/>
      </w:pPr>
      <w:r>
        <w:rPr>
          <w:rFonts w:ascii="Symbol" w:hAnsi="Symbol"/>
          <w:color w:val="00000A"/>
        </w:rPr>
        <w:t></w:t>
      </w:r>
      <w:r>
        <w:rPr>
          <w:rFonts w:ascii="Symbol" w:hAnsi="Symbol"/>
          <w:color w:val="00000A"/>
        </w:rPr>
        <w:tab/>
      </w:r>
      <w:r>
        <w:rPr>
          <w:color w:val="00000A"/>
        </w:rPr>
        <w:t>Troubleshot corrupted PST files, Outlook profiles and mail delivery by tracking message paths through Exchange Message Tracking and mail gateway servers.</w:t>
      </w:r>
    </w:p>
    <w:p>
      <w:pPr>
        <w:pStyle w:val="style0"/>
        <w:ind w:hanging="360" w:left="720" w:right="0"/>
        <w:jc w:val="left"/>
      </w:pPr>
      <w:r>
        <w:rPr>
          <w:rFonts w:ascii="Symbol" w:hAnsi="Symbol"/>
          <w:color w:val="00000A"/>
        </w:rPr>
        <w:t></w:t>
      </w:r>
      <w:r>
        <w:rPr>
          <w:rFonts w:ascii="Symbol" w:hAnsi="Symbol"/>
          <w:color w:val="00000A"/>
        </w:rPr>
        <w:tab/>
      </w:r>
      <w:r>
        <w:rPr>
          <w:color w:val="00000A"/>
        </w:rPr>
        <w:t>Assisted customers to resolve NDR reports and troubleshoot network problems.</w:t>
      </w:r>
    </w:p>
    <w:p>
      <w:pPr>
        <w:pStyle w:val="style0"/>
        <w:ind w:hanging="360" w:left="720" w:right="0"/>
        <w:jc w:val="left"/>
      </w:pPr>
      <w:r>
        <w:rPr>
          <w:rFonts w:ascii="Symbol" w:hAnsi="Symbol"/>
          <w:color w:val="00000A"/>
        </w:rPr>
        <w:t></w:t>
      </w:r>
      <w:r>
        <w:rPr>
          <w:rFonts w:ascii="Symbol" w:hAnsi="Symbol"/>
          <w:color w:val="00000A"/>
        </w:rPr>
        <w:tab/>
      </w:r>
      <w:r>
        <w:rPr>
          <w:color w:val="00000A"/>
        </w:rPr>
        <w:t>Configured mobile devices to synchronize Exchange Mail, Calendars and Contacts.</w:t>
      </w:r>
    </w:p>
    <w:p>
      <w:pPr>
        <w:pStyle w:val="style0"/>
        <w:ind w:hanging="360" w:left="720" w:right="0"/>
        <w:jc w:val="left"/>
      </w:pPr>
      <w:r>
        <w:rPr>
          <w:rFonts w:ascii="Symbol" w:hAnsi="Symbol"/>
          <w:color w:val="00000A"/>
        </w:rPr>
        <w:t></w:t>
      </w:r>
      <w:r>
        <w:rPr>
          <w:rFonts w:ascii="Symbol" w:hAnsi="Symbol"/>
          <w:color w:val="00000A"/>
        </w:rPr>
        <w:tab/>
      </w:r>
      <w:r>
        <w:rPr>
          <w:color w:val="00000A"/>
        </w:rPr>
        <w:t>Resolved multi-client Outlook, AD and SiteMinder password synchronization issues.</w:t>
      </w:r>
    </w:p>
    <w:p>
      <w:pPr>
        <w:pStyle w:val="style0"/>
        <w:tabs>
          <w:tab w:leader="none" w:pos="709" w:val="left"/>
          <w:tab w:leader="none" w:pos="720" w:val="left"/>
        </w:tabs>
        <w:jc w:val="left"/>
      </w:pPr>
      <w:r>
        <w:rPr/>
      </w:r>
    </w:p>
    <w:p>
      <w:pPr>
        <w:pStyle w:val="style0"/>
        <w:tabs>
          <w:tab w:leader="none" w:pos="709" w:val="left"/>
          <w:tab w:leader="none" w:pos="720" w:val="left"/>
        </w:tabs>
        <w:spacing w:after="120" w:before="0"/>
        <w:jc w:val="left"/>
      </w:pPr>
      <w:r>
        <w:rPr>
          <w:color w:val="00000A"/>
        </w:rPr>
        <w:t>Management and leadership</w:t>
      </w:r>
    </w:p>
    <w:p>
      <w:pPr>
        <w:pStyle w:val="style0"/>
        <w:tabs>
          <w:tab w:leader="none" w:pos="1440" w:val="left"/>
          <w:tab w:leader="none" w:pos="2160" w:val="left"/>
          <w:tab w:leader="none" w:pos="2880" w:val="left"/>
          <w:tab w:leader="none" w:pos="3600" w:val="left"/>
          <w:tab w:leader="none" w:pos="4320" w:val="left"/>
        </w:tabs>
        <w:ind w:hanging="360" w:left="720" w:right="0"/>
        <w:jc w:val="left"/>
      </w:pPr>
      <w:r>
        <w:rPr>
          <w:rFonts w:ascii="Symbol" w:hAnsi="Symbol"/>
          <w:color w:val="00000A"/>
        </w:rPr>
        <w:t></w:t>
      </w:r>
      <w:r>
        <w:rPr>
          <w:rFonts w:ascii="Symbol" w:hAnsi="Symbol"/>
          <w:color w:val="00000A"/>
        </w:rPr>
        <w:tab/>
      </w:r>
      <w:r>
        <w:rPr>
          <w:color w:val="00000A"/>
        </w:rPr>
        <w:t>Messaging Team Lead to direct work-flow and perform annual performance appraisals.</w:t>
      </w:r>
    </w:p>
    <w:p>
      <w:pPr>
        <w:pStyle w:val="style0"/>
        <w:ind w:hanging="360" w:left="720" w:right="0"/>
        <w:jc w:val="left"/>
      </w:pPr>
      <w:r>
        <w:rPr>
          <w:rFonts w:ascii="Symbol" w:hAnsi="Symbol"/>
          <w:color w:val="00000A"/>
        </w:rPr>
        <w:t></w:t>
      </w:r>
      <w:r>
        <w:rPr>
          <w:rFonts w:ascii="Symbol" w:hAnsi="Symbol"/>
          <w:color w:val="00000A"/>
        </w:rPr>
        <w:tab/>
      </w:r>
      <w:r>
        <w:rPr>
          <w:color w:val="00000A"/>
        </w:rPr>
        <w:t>Coordinated infrastructure and application updates, change control and vendor software.</w:t>
      </w:r>
    </w:p>
    <w:p>
      <w:pPr>
        <w:pStyle w:val="style0"/>
        <w:ind w:hanging="360" w:left="720" w:right="0"/>
        <w:jc w:val="left"/>
      </w:pPr>
      <w:r>
        <w:rPr>
          <w:rFonts w:ascii="Symbol" w:hAnsi="Symbol"/>
          <w:color w:val="00000A"/>
        </w:rPr>
        <w:t></w:t>
      </w:r>
      <w:r>
        <w:rPr>
          <w:rFonts w:ascii="Symbol" w:hAnsi="Symbol"/>
          <w:color w:val="00000A"/>
        </w:rPr>
        <w:tab/>
      </w:r>
      <w:r>
        <w:rPr>
          <w:color w:val="00000A"/>
        </w:rPr>
        <w:t>Managed project planning and process execution for cross-functional project teams.</w:t>
      </w:r>
    </w:p>
    <w:p>
      <w:pPr>
        <w:pStyle w:val="style0"/>
        <w:tabs>
          <w:tab w:leader="none" w:pos="709" w:val="left"/>
          <w:tab w:leader="none" w:pos="720" w:val="left"/>
        </w:tabs>
        <w:jc w:val="left"/>
      </w:pPr>
      <w:r>
        <w:rPr/>
      </w:r>
    </w:p>
    <w:p>
      <w:pPr>
        <w:pStyle w:val="style0"/>
        <w:tabs>
          <w:tab w:leader="none" w:pos="709" w:val="left"/>
          <w:tab w:leader="none" w:pos="720" w:val="left"/>
        </w:tabs>
        <w:jc w:val="left"/>
      </w:pPr>
      <w:r>
        <w:rPr/>
      </w:r>
    </w:p>
    <w:p>
      <w:pPr>
        <w:pStyle w:val="style0"/>
        <w:tabs>
          <w:tab w:leader="none" w:pos="709" w:val="left"/>
          <w:tab w:leader="none" w:pos="720" w:val="left"/>
        </w:tabs>
        <w:jc w:val="left"/>
      </w:pPr>
      <w:r>
        <w:rPr>
          <w:b/>
          <w:color w:val="00000A"/>
        </w:rPr>
        <w:t>Education</w:t>
      </w:r>
    </w:p>
    <w:p>
      <w:pPr>
        <w:pStyle w:val="style0"/>
        <w:tabs>
          <w:tab w:leader="none" w:pos="709" w:val="left"/>
          <w:tab w:leader="none" w:pos="720" w:val="left"/>
        </w:tabs>
        <w:jc w:val="left"/>
      </w:pPr>
      <w:r>
        <w:rPr/>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Exchange Training</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Microsoft Exchange Server 2010</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Microsoft Exchange Server 2007</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Microsoft Outlook 2007</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Certifications</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Currently pursuing Microsoft Exchange Server 2010 certification</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Microsoft Certified Product Specialist designation</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Microsoft Workstation and Server certification</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Microsoft TCP/IP Networking certification</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Certified Lotus Professional (CLP) designation</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Lotus Notes Administration certification</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color w:val="00000A"/>
        </w:rPr>
        <w:t>Lotus Notes Application Development certification</w:t>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r>
    </w:p>
    <w:p>
      <w:pPr>
        <w:pStyle w:val="style0"/>
        <w:tabs>
          <w:tab w:leader="none" w:pos="1429" w:val="left"/>
          <w:tab w:leader="none" w:pos="2138" w:val="left"/>
          <w:tab w:leader="none" w:pos="2847" w:val="left"/>
          <w:tab w:leader="none" w:pos="3556" w:val="left"/>
          <w:tab w:leader="none" w:pos="4254" w:val="left"/>
        </w:tabs>
        <w:ind w:hanging="0" w:left="709" w:right="0"/>
        <w:jc w:val="left"/>
      </w:pPr>
      <w:r>
        <w:rPr/>
      </w:r>
    </w:p>
    <w:p>
      <w:pPr>
        <w:pStyle w:val="style0"/>
        <w:tabs>
          <w:tab w:leader="none" w:pos="1429" w:val="left"/>
          <w:tab w:leader="none" w:pos="2138" w:val="left"/>
          <w:tab w:leader="none" w:pos="2847" w:val="left"/>
          <w:tab w:leader="none" w:pos="3556" w:val="left"/>
          <w:tab w:leader="none" w:pos="4254" w:val="left"/>
        </w:tabs>
        <w:ind w:hanging="0" w:left="709" w:right="0"/>
        <w:jc w:val="center"/>
      </w:pPr>
      <w:r>
        <w:rPr>
          <w:color w:val="00000A"/>
        </w:rPr>
        <w:t>2</w:t>
      </w:r>
    </w:p>
    <w:sectPr>
      <w:type w:val="nextPage"/>
      <w:pgSz w:h="15840" w:w="12240"/>
      <w:pgMar w:bottom="720" w:footer="0" w:gutter="0" w:header="0" w:left="1296" w:right="1296" w:top="1296"/>
      <w:pgNumType w:fmt="decimal"/>
      <w:formProt w:val="false"/>
      <w:textDirection w:val="lrTb"/>
      <w:docGrid w:charSpace="-6145"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Courier New">
    <w:charset w:val="80"/>
    <w:family w:val="modern"/>
    <w:pitch w:val="fixed"/>
  </w:font>
  <w:font w:name="Wingdings">
    <w:charset w:val="02"/>
    <w:family w:val="auto"/>
    <w:pitch w:val="variable"/>
  </w:font>
</w:fonts>
</file>

<file path=word/numbering.xml><?xml version="1.0" encoding="utf-8"?>
<w:numbering xmlns:w="http://schemas.openxmlformats.org/wordprocessingml/2006/main">
  <w:abstractNum w:abstractNumId="1">
    <w:lvl w:ilvl="0">
      <w:start w:val="1"/>
      <w:numFmt w:val="bullet"/>
      <w:lvlText w:val=""/>
      <w:lvlJc w:val="left"/>
      <w:pPr>
        <w:ind w:hanging="360" w:left="720"/>
      </w:pPr>
      <w:rPr>
        <w:rFonts w:ascii="Symbol" w:cs="Symbol" w:hAnsi="Symbol"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2">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bering>
</file>

<file path=word/styles.xml><?xml version="1.0" encoding="utf-8"?>
<w:styles xmlns:w="http://schemas.openxmlformats.org/wordprocessingml/2006/main">
  <w:style w:styleId="style0" w:type="paragraph">
    <w:name w:val="Normal"/>
    <w:next w:val="style0"/>
    <w:pPr>
      <w:widowControl w:val="false"/>
      <w:tabs>
        <w:tab w:leader="none" w:pos="720" w:val="left"/>
      </w:tabs>
      <w:suppressAutoHyphens w:val="true"/>
      <w:spacing w:after="0" w:before="0" w:line="100" w:lineRule="atLeast"/>
    </w:pPr>
    <w:rPr>
      <w:rFonts w:ascii="Arial" w:cs="Arial" w:eastAsia="WenQuanYi Zen Hei" w:hAnsi="Arial"/>
      <w:color w:val="00000A"/>
      <w:sz w:val="24"/>
      <w:szCs w:val="24"/>
      <w:lang w:bidi="hi-IN" w:eastAsia="zh-CN" w:val="en-US"/>
    </w:rPr>
  </w:style>
  <w:style w:styleId="style15" w:type="character">
    <w:name w:val="Default Paragraph Font"/>
    <w:next w:val="style15"/>
    <w:rPr/>
  </w:style>
  <w:style w:styleId="style16" w:type="character">
    <w:name w:val="Internet Link"/>
    <w:next w:val="style16"/>
    <w:rPr>
      <w:color w:val="000080"/>
      <w:u w:val="single"/>
      <w:lang w:bidi="en-US" w:eastAsia="en-US" w:val="en-US"/>
    </w:rPr>
  </w:style>
  <w:style w:styleId="style17" w:type="character">
    <w:name w:val="Header Char"/>
    <w:basedOn w:val="style15"/>
    <w:next w:val="style17"/>
    <w:rPr>
      <w:rFonts w:ascii="Arial" w:cs="Arial" w:hAnsi="Arial"/>
      <w:sz w:val="24"/>
      <w:szCs w:val="24"/>
    </w:rPr>
  </w:style>
  <w:style w:styleId="style18" w:type="character">
    <w:name w:val="Footer Char"/>
    <w:basedOn w:val="style15"/>
    <w:next w:val="style18"/>
    <w:rPr>
      <w:rFonts w:ascii="Arial" w:cs="Arial" w:hAnsi="Arial"/>
      <w:sz w:val="24"/>
      <w:szCs w:val="24"/>
    </w:rPr>
  </w:style>
  <w:style w:styleId="style19" w:type="character">
    <w:name w:val="Balloon Text Char"/>
    <w:basedOn w:val="style15"/>
    <w:next w:val="style19"/>
    <w:rPr>
      <w:rFonts w:ascii="Tahoma" w:cs="Tahoma" w:hAnsi="Tahoma"/>
      <w:sz w:val="16"/>
      <w:szCs w:val="16"/>
    </w:rPr>
  </w:style>
  <w:style w:styleId="style20" w:type="character">
    <w:name w:val="ListLabel 1"/>
    <w:next w:val="style20"/>
    <w:rPr>
      <w:rFonts w:cs=""/>
    </w:rPr>
  </w:style>
  <w:style w:styleId="style21" w:type="character">
    <w:name w:val="ListLabel 2"/>
    <w:next w:val="style21"/>
    <w:rPr>
      <w:rFonts w:cs="Courier New"/>
    </w:rPr>
  </w:style>
  <w:style w:styleId="style22" w:type="character">
    <w:name w:val="ListLabel 3"/>
    <w:next w:val="style22"/>
    <w:rPr>
      <w:rFonts w:cs="Symbol"/>
    </w:rPr>
  </w:style>
  <w:style w:styleId="style23" w:type="character">
    <w:name w:val="ListLabel 4"/>
    <w:next w:val="style23"/>
    <w:rPr>
      <w:rFonts w:cs="Courier New"/>
    </w:rPr>
  </w:style>
  <w:style w:styleId="style24" w:type="character">
    <w:name w:val="ListLabel 5"/>
    <w:next w:val="style24"/>
    <w:rPr>
      <w:rFonts w:cs="Wingdings"/>
    </w:rPr>
  </w:style>
  <w:style w:styleId="style25" w:type="character">
    <w:name w:val="Footnote anchor"/>
    <w:next w:val="style25"/>
    <w:rPr>
      <w:vertAlign w:val="superscript"/>
    </w:rPr>
  </w:style>
  <w:style w:styleId="style26" w:type="character">
    <w:name w:val="ListLabel 6"/>
    <w:next w:val="style26"/>
    <w:rPr>
      <w:rFonts w:cs="Symbol"/>
    </w:rPr>
  </w:style>
  <w:style w:styleId="style27" w:type="character">
    <w:name w:val="ListLabel 7"/>
    <w:next w:val="style27"/>
    <w:rPr>
      <w:rFonts w:cs="Courier New"/>
    </w:rPr>
  </w:style>
  <w:style w:styleId="style28" w:type="character">
    <w:name w:val="ListLabel 8"/>
    <w:next w:val="style28"/>
    <w:rPr>
      <w:rFonts w:cs="Wingdings"/>
    </w:rPr>
  </w:style>
  <w:style w:styleId="style29" w:type="character">
    <w:name w:val="ListLabel 9"/>
    <w:next w:val="style29"/>
    <w:rPr>
      <w:rFonts w:cs="Symbol"/>
    </w:rPr>
  </w:style>
  <w:style w:styleId="style30" w:type="character">
    <w:name w:val="ListLabel 10"/>
    <w:next w:val="style30"/>
    <w:rPr>
      <w:rFonts w:cs="Courier New"/>
    </w:rPr>
  </w:style>
  <w:style w:styleId="style31" w:type="character">
    <w:name w:val="ListLabel 11"/>
    <w:next w:val="style31"/>
    <w:rPr>
      <w:rFonts w:cs="Wingdings"/>
    </w:rPr>
  </w:style>
  <w:style w:styleId="style32" w:type="character">
    <w:name w:val="ListLabel 12"/>
    <w:next w:val="style32"/>
    <w:rPr>
      <w:rFonts w:cs="Symbol"/>
    </w:rPr>
  </w:style>
  <w:style w:styleId="style33" w:type="character">
    <w:name w:val="ListLabel 13"/>
    <w:next w:val="style33"/>
    <w:rPr>
      <w:rFonts w:cs="Courier New"/>
    </w:rPr>
  </w:style>
  <w:style w:styleId="style34" w:type="character">
    <w:name w:val="ListLabel 14"/>
    <w:next w:val="style34"/>
    <w:rPr>
      <w:rFonts w:cs="Wingdings"/>
    </w:rPr>
  </w:style>
  <w:style w:styleId="style35" w:type="paragraph">
    <w:name w:val="Heading"/>
    <w:basedOn w:val="style0"/>
    <w:next w:val="style36"/>
    <w:pPr>
      <w:keepNext/>
      <w:spacing w:after="120" w:before="240"/>
    </w:pPr>
    <w:rPr>
      <w:rFonts w:ascii="Arial" w:cs="Lohit Hindi" w:eastAsia="Lohit Hindi" w:hAnsi="Arial"/>
      <w:sz w:val="28"/>
      <w:szCs w:val="28"/>
    </w:rPr>
  </w:style>
  <w:style w:styleId="style36" w:type="paragraph">
    <w:name w:val="Text body"/>
    <w:basedOn w:val="style0"/>
    <w:next w:val="style36"/>
    <w:pPr>
      <w:spacing w:after="120" w:before="0"/>
    </w:pPr>
    <w:rPr/>
  </w:style>
  <w:style w:styleId="style37" w:type="paragraph">
    <w:name w:val="List"/>
    <w:basedOn w:val="style36"/>
    <w:next w:val="style37"/>
    <w:pPr/>
    <w:rPr>
      <w:rFonts w:cs="Lohit Hindi" w:eastAsia="Lohit Hindi"/>
    </w:rPr>
  </w:style>
  <w:style w:styleId="style38" w:type="paragraph">
    <w:name w:val="Caption"/>
    <w:basedOn w:val="style0"/>
    <w:next w:val="style38"/>
    <w:pPr>
      <w:suppressLineNumbers/>
      <w:spacing w:after="120" w:before="120"/>
    </w:pPr>
    <w:rPr>
      <w:rFonts w:cs="Lohit Hindi"/>
      <w:i/>
      <w:iCs/>
      <w:sz w:val="24"/>
      <w:szCs w:val="24"/>
    </w:rPr>
  </w:style>
  <w:style w:styleId="style39" w:type="paragraph">
    <w:name w:val="Index"/>
    <w:basedOn w:val="style0"/>
    <w:next w:val="style39"/>
    <w:pPr>
      <w:suppressLineNumbers/>
    </w:pPr>
    <w:rPr>
      <w:rFonts w:cs="Lohit Hindi" w:eastAsia="Lohit Hindi"/>
    </w:rPr>
  </w:style>
  <w:style w:styleId="style40" w:type="paragraph">
    <w:name w:val="caption"/>
    <w:basedOn w:val="style0"/>
    <w:next w:val="style40"/>
    <w:pPr>
      <w:suppressLineNumbers/>
      <w:spacing w:after="120" w:before="120"/>
    </w:pPr>
    <w:rPr>
      <w:rFonts w:eastAsia="Lohit Hindi"/>
      <w:i/>
      <w:iCs/>
    </w:rPr>
  </w:style>
  <w:style w:styleId="style41" w:type="paragraph">
    <w:name w:val="Table Contents"/>
    <w:basedOn w:val="style0"/>
    <w:next w:val="style41"/>
    <w:pPr>
      <w:suppressLineNumbers/>
    </w:pPr>
    <w:rPr/>
  </w:style>
  <w:style w:styleId="style42" w:type="paragraph">
    <w:name w:val="Table Heading"/>
    <w:basedOn w:val="style41"/>
    <w:next w:val="style42"/>
    <w:pPr>
      <w:suppressLineNumbers/>
      <w:jc w:val="center"/>
    </w:pPr>
    <w:rPr>
      <w:b/>
      <w:bCs/>
    </w:rPr>
  </w:style>
  <w:style w:styleId="style43" w:type="paragraph">
    <w:name w:val="Header"/>
    <w:basedOn w:val="style0"/>
    <w:next w:val="style43"/>
    <w:pPr>
      <w:suppressLineNumbers/>
      <w:tabs>
        <w:tab w:leader="none" w:pos="4680" w:val="center"/>
        <w:tab w:leader="none" w:pos="9360" w:val="right"/>
      </w:tabs>
    </w:pPr>
    <w:rPr/>
  </w:style>
  <w:style w:styleId="style44" w:type="paragraph">
    <w:name w:val="Footer"/>
    <w:basedOn w:val="style0"/>
    <w:next w:val="style44"/>
    <w:pPr>
      <w:suppressLineNumbers/>
      <w:tabs>
        <w:tab w:leader="none" w:pos="4680" w:val="center"/>
        <w:tab w:leader="none" w:pos="9360" w:val="right"/>
      </w:tabs>
    </w:pPr>
    <w:rPr/>
  </w:style>
  <w:style w:styleId="style45" w:type="paragraph">
    <w:name w:val="Balloon Text"/>
    <w:basedOn w:val="style0"/>
    <w:next w:val="style45"/>
    <w:pPr/>
    <w:rPr>
      <w:rFonts w:ascii="Tahoma" w:cs="Tahoma" w:hAnsi="Tahoma"/>
      <w:sz w:val="16"/>
      <w:szCs w:val="16"/>
    </w:rPr>
  </w:style>
  <w:style w:styleId="style46" w:type="paragraph">
    <w:name w:val="List Paragraph"/>
    <w:basedOn w:val="style0"/>
    <w:next w:val="style46"/>
    <w:pPr>
      <w:ind w:hanging="0" w:left="720" w:right="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ayne_mccole@yahoo.com" TargetMode="External"/><Relationship Id="rId3" Type="http://schemas.openxmlformats.org/officeDocument/2006/relationships/numbering" Target="numbering.xml"/><Relationship Id="rId4"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2011-09-29T13:08:00.00Z</dcterms:created>
  <dc:creator>Wayne McCole</dc:creator>
  <cp:lastModifiedBy>Wayne McCole</cp:lastModifiedBy>
  <cp:lastPrinted>2011-09-30T07:08:17.00Z</cp:lastPrinted>
  <dcterms:modified xsi:type="dcterms:W3CDTF">2011-09-29T13:08:00.00Z</dcterms:modified>
  <cp:revision>2</cp:revision>
</cp:coreProperties>
</file>